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A6CCC99" w:rsidR="00F92268" w:rsidRPr="00FF66BF" w:rsidRDefault="001C39B4" w:rsidP="00F246C7">
            <w:pPr>
              <w:pStyle w:val="RefTableHeader"/>
            </w:pPr>
            <w:r>
              <w:t>16</w:t>
            </w:r>
            <w:r w:rsidR="001B3C21" w:rsidRPr="001B3C21">
              <w:t>74-A</w:t>
            </w:r>
          </w:p>
        </w:tc>
      </w:tr>
    </w:tbl>
    <w:p w14:paraId="74FBA5B4" w14:textId="77777777" w:rsidR="00051356" w:rsidRDefault="00051356" w:rsidP="00A672B3">
      <w:pPr>
        <w:pStyle w:val="BodyText"/>
        <w:rPr>
          <w:b/>
          <w:bCs/>
          <w:sz w:val="16"/>
          <w:szCs w:val="16"/>
        </w:rPr>
        <w:sectPr w:rsidR="00051356" w:rsidSect="001722DF">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4EB15F7" w:rsidR="004B15BB" w:rsidRPr="00BD1CC1" w:rsidRDefault="00694A62" w:rsidP="007E5C16">
      <w:pPr>
        <w:pStyle w:val="Heading1"/>
      </w:pPr>
      <w:r>
        <w:t>Specialty</w:t>
      </w:r>
      <w:r w:rsidRPr="00694A62">
        <w:t xml:space="preserve"> </w:t>
      </w:r>
      <w:r>
        <w:t>Guideline</w:t>
      </w:r>
      <w:r w:rsidRPr="00694A62">
        <w:t xml:space="preserve"> </w:t>
      </w:r>
      <w:r>
        <w:t>Management</w:t>
      </w:r>
      <w:r w:rsidR="006706B7">
        <w:br/>
      </w:r>
      <w:proofErr w:type="spellStart"/>
      <w:r w:rsidR="006706B7" w:rsidRPr="006706B7">
        <w:t>Myalept</w:t>
      </w:r>
      <w:proofErr w:type="spellEnd"/>
    </w:p>
    <w:p w14:paraId="78861C92" w14:textId="6E6ED463" w:rsidR="00203468" w:rsidRPr="00BD1CC1" w:rsidRDefault="00C64534" w:rsidP="008E0F0D">
      <w:pPr>
        <w:pStyle w:val="Heading2"/>
      </w:pPr>
      <w:r w:rsidRPr="00BD1CC1">
        <w:t xml:space="preserve">Products Referenced by this </w:t>
      </w:r>
      <w:r w:rsidR="00501602" w:rsidRPr="00BD1CC1">
        <w:t>Document</w:t>
      </w:r>
    </w:p>
    <w:p w14:paraId="5455152B" w14:textId="19B66360"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FF5C92" w:rsidRPr="00BD1CC1">
        <w:t>O</w:t>
      </w:r>
      <w:r w:rsidR="00FF5C92">
        <w:t>ver-the-counter</w:t>
      </w:r>
      <w:r w:rsidR="00FF5C92" w:rsidRPr="00BD1CC1">
        <w:t xml:space="preserve"> </w:t>
      </w:r>
      <w:r w:rsidR="00FF5C92">
        <w:t xml:space="preserve">(OTC) </w:t>
      </w:r>
      <w:r w:rsidRPr="00BD1CC1">
        <w:t>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1D2D6FE0" w:rsidR="00585FFF" w:rsidRPr="00BD1CC1" w:rsidRDefault="006706B7" w:rsidP="00E82ABA">
            <w:pPr>
              <w:pStyle w:val="TableDataUnpadded"/>
            </w:pPr>
            <w:proofErr w:type="spellStart"/>
            <w:r w:rsidRPr="006706B7">
              <w:t>Myalept</w:t>
            </w:r>
            <w:proofErr w:type="spellEnd"/>
          </w:p>
        </w:tc>
        <w:tc>
          <w:tcPr>
            <w:tcW w:w="5595" w:type="dxa"/>
          </w:tcPr>
          <w:p w14:paraId="7E26A004" w14:textId="6D9D6473" w:rsidR="00585FFF" w:rsidRPr="00BD1CC1" w:rsidRDefault="006706B7" w:rsidP="00E82ABA">
            <w:pPr>
              <w:pStyle w:val="TableDataUnpadded"/>
            </w:pPr>
            <w:proofErr w:type="spellStart"/>
            <w:r w:rsidRPr="006706B7">
              <w:t>metreleptin</w:t>
            </w:r>
            <w:proofErr w:type="spellEnd"/>
          </w:p>
        </w:tc>
      </w:tr>
    </w:tbl>
    <w:bookmarkEnd w:id="0"/>
    <w:p w14:paraId="14CE6108" w14:textId="7C0AFA99" w:rsidR="00FC1AAD" w:rsidRDefault="00ED052F" w:rsidP="00AA2A94">
      <w:pPr>
        <w:pStyle w:val="Heading2"/>
        <w:tabs>
          <w:tab w:val="left" w:pos="9540"/>
        </w:tabs>
      </w:pPr>
      <w:r>
        <w:t>Indications</w:t>
      </w:r>
    </w:p>
    <w:p w14:paraId="14B6866C" w14:textId="2F5AACDB" w:rsidR="006706B7" w:rsidRPr="00AA472A" w:rsidRDefault="006706B7" w:rsidP="00AA472A">
      <w:pPr>
        <w:pStyle w:val="BodyText"/>
      </w:pPr>
      <w:r w:rsidRPr="006706B7">
        <w:t>The indications below including FDA-approved indications and compendial uses are considered a covered benefit provided that all the approval criteria are met and the member has no exclusions to the prescribed therapy.</w:t>
      </w:r>
    </w:p>
    <w:p w14:paraId="134B5687" w14:textId="6F062534" w:rsidR="00ED052F" w:rsidRDefault="00ED052F" w:rsidP="00ED052F">
      <w:pPr>
        <w:pStyle w:val="Heading3"/>
        <w:keepNext w:val="0"/>
      </w:pPr>
      <w:r w:rsidRPr="00BD1CC1">
        <w:t>FDA-</w:t>
      </w:r>
      <w:r w:rsidR="00D2174A">
        <w:t>A</w:t>
      </w:r>
      <w:r w:rsidRPr="00BD1CC1">
        <w:t>pproved Indications</w:t>
      </w:r>
      <w:r w:rsidR="00D2174A" w:rsidRPr="00D2174A">
        <w:rPr>
          <w:vertAlign w:val="superscript"/>
        </w:rPr>
        <w:t>1</w:t>
      </w:r>
    </w:p>
    <w:p w14:paraId="2BA41245" w14:textId="77777777" w:rsidR="006706B7" w:rsidRDefault="006706B7" w:rsidP="006706B7">
      <w:pPr>
        <w:pStyle w:val="BodyText"/>
      </w:pPr>
      <w:proofErr w:type="spellStart"/>
      <w:r>
        <w:t>Myalept</w:t>
      </w:r>
      <w:proofErr w:type="spellEnd"/>
      <w:r>
        <w:t xml:space="preserve"> is indicated as an adjunct to diet as replacement therapy to treat the </w:t>
      </w:r>
      <w:r w:rsidRPr="00E247D6">
        <w:t xml:space="preserve">complications </w:t>
      </w:r>
      <w:r>
        <w:t>of leptin deficiency in patients with congenital or acquired generalized lipodystrophy.</w:t>
      </w:r>
    </w:p>
    <w:p w14:paraId="35B8B4E3" w14:textId="77777777" w:rsidR="006706B7" w:rsidRDefault="006706B7" w:rsidP="006706B7">
      <w:pPr>
        <w:pStyle w:val="Heading4"/>
      </w:pPr>
      <w:r>
        <w:t>Limitations of Use:</w:t>
      </w:r>
    </w:p>
    <w:p w14:paraId="0A0037F8" w14:textId="525D8640" w:rsidR="006706B7" w:rsidRPr="006706B7" w:rsidRDefault="006706B7" w:rsidP="006706B7">
      <w:pPr>
        <w:pStyle w:val="ListParagraph"/>
        <w:numPr>
          <w:ilvl w:val="0"/>
          <w:numId w:val="28"/>
        </w:numPr>
      </w:pPr>
      <w:r w:rsidRPr="006706B7">
        <w:t xml:space="preserve">The safety and effectiveness of </w:t>
      </w:r>
      <w:proofErr w:type="spellStart"/>
      <w:r w:rsidRPr="006706B7">
        <w:t>Myalept</w:t>
      </w:r>
      <w:proofErr w:type="spellEnd"/>
      <w:r w:rsidRPr="006706B7">
        <w:t xml:space="preserve"> for the treatment of complications of partial lipodystrophy have not been established.</w:t>
      </w:r>
    </w:p>
    <w:p w14:paraId="456FCDDB" w14:textId="259E6EF8" w:rsidR="006706B7" w:rsidRPr="006706B7" w:rsidRDefault="006706B7" w:rsidP="006706B7">
      <w:pPr>
        <w:pStyle w:val="ListParagraph"/>
        <w:numPr>
          <w:ilvl w:val="0"/>
          <w:numId w:val="28"/>
        </w:numPr>
      </w:pPr>
      <w:r w:rsidRPr="006706B7">
        <w:t xml:space="preserve">The safety and effectiveness of </w:t>
      </w:r>
      <w:proofErr w:type="spellStart"/>
      <w:r w:rsidRPr="006706B7">
        <w:t>Myalept</w:t>
      </w:r>
      <w:proofErr w:type="spellEnd"/>
      <w:r w:rsidRPr="006706B7">
        <w:t xml:space="preserve"> for the treatment of liver disease, including nonalcoholic steatohepatitis (NASH), have not been established.</w:t>
      </w:r>
    </w:p>
    <w:p w14:paraId="6D391D34" w14:textId="5987C94C" w:rsidR="006706B7" w:rsidRPr="006706B7" w:rsidRDefault="006706B7" w:rsidP="006706B7">
      <w:pPr>
        <w:pStyle w:val="ListParagraph"/>
        <w:numPr>
          <w:ilvl w:val="0"/>
          <w:numId w:val="28"/>
        </w:numPr>
      </w:pPr>
      <w:proofErr w:type="spellStart"/>
      <w:r w:rsidRPr="006706B7">
        <w:t>Myalept</w:t>
      </w:r>
      <w:proofErr w:type="spellEnd"/>
      <w:r w:rsidRPr="006706B7">
        <w:t xml:space="preserve"> is not indicated for use in patients with </w:t>
      </w:r>
      <w:r w:rsidR="00045CF3">
        <w:t>human immunodeficiency virus (</w:t>
      </w:r>
      <w:r w:rsidRPr="006706B7">
        <w:t>HIV</w:t>
      </w:r>
      <w:r w:rsidR="00045CF3">
        <w:t>)</w:t>
      </w:r>
      <w:r w:rsidRPr="006706B7">
        <w:t>-related lipodystrophy.</w:t>
      </w:r>
    </w:p>
    <w:p w14:paraId="7DE79E23" w14:textId="62C73F12" w:rsidR="006706B7" w:rsidRPr="006706B7" w:rsidRDefault="006706B7" w:rsidP="006706B7">
      <w:pPr>
        <w:pStyle w:val="ListParagraph"/>
        <w:numPr>
          <w:ilvl w:val="0"/>
          <w:numId w:val="28"/>
        </w:numPr>
      </w:pPr>
      <w:proofErr w:type="spellStart"/>
      <w:r w:rsidRPr="006706B7">
        <w:t>Myalept</w:t>
      </w:r>
      <w:proofErr w:type="spellEnd"/>
      <w:r w:rsidRPr="006706B7">
        <w:t xml:space="preserve"> is not indicated for use in patients with metabolic disease, including diabetes mellitus and hypertriglyceridemia, without concurrent evidence of congenital or acquired generalized lipodystrophy.</w:t>
      </w:r>
    </w:p>
    <w:p w14:paraId="0B5EC236" w14:textId="64A1682D" w:rsidR="0044763A" w:rsidRDefault="009F2EF1" w:rsidP="0044763A">
      <w:pPr>
        <w:pStyle w:val="Heading3"/>
      </w:pPr>
      <w:r w:rsidRPr="004E0817">
        <w:lastRenderedPageBreak/>
        <w:t>Compendial Uses</w:t>
      </w:r>
      <w:r w:rsidR="00F90E54" w:rsidRPr="004E0817">
        <w:rPr>
          <w:vertAlign w:val="superscript"/>
        </w:rPr>
        <w:t>2</w:t>
      </w:r>
    </w:p>
    <w:p w14:paraId="789EF98E" w14:textId="77777777" w:rsidR="006706B7" w:rsidRDefault="006706B7" w:rsidP="00D2174A">
      <w:pPr>
        <w:pStyle w:val="BodyText"/>
        <w:spacing w:after="100"/>
      </w:pPr>
      <w:r>
        <w:t>Partial lipodystrophy in patients with confirmed leptin deficiency and metabolic abnormalities</w:t>
      </w:r>
    </w:p>
    <w:p w14:paraId="0639AE22" w14:textId="63A7A78B" w:rsidR="006706B7" w:rsidRDefault="006706B7" w:rsidP="00D2174A">
      <w:pPr>
        <w:pStyle w:val="BodyText"/>
        <w:spacing w:after="0"/>
      </w:pPr>
      <w:r>
        <w:t>All other indications are considered experimental/investigational and not medically necessary.</w:t>
      </w:r>
    </w:p>
    <w:p w14:paraId="36381B6D" w14:textId="11FDB489" w:rsidR="000D2496" w:rsidRDefault="000D2496" w:rsidP="00D2174A">
      <w:pPr>
        <w:pStyle w:val="Heading2"/>
        <w:spacing w:before="460"/>
      </w:pPr>
      <w:r w:rsidRPr="00BD1CC1">
        <w:t>Documentation</w:t>
      </w:r>
    </w:p>
    <w:p w14:paraId="042FCA0A" w14:textId="15AF9241" w:rsidR="006706B7" w:rsidRDefault="006706B7" w:rsidP="00D2174A">
      <w:pPr>
        <w:pStyle w:val="BodyText"/>
        <w:spacing w:after="0"/>
      </w:pPr>
      <w:r w:rsidRPr="006706B7">
        <w:t>Submission of the following information is necessary to initiate the prior authorization review: leptin level (for initial requests)</w:t>
      </w:r>
    </w:p>
    <w:p w14:paraId="504B3DAC" w14:textId="2A2F85A7" w:rsidR="006706B7" w:rsidRDefault="006706B7" w:rsidP="006706B7">
      <w:pPr>
        <w:pStyle w:val="Heading2"/>
      </w:pPr>
      <w:r w:rsidRPr="006706B7">
        <w:t>Exclusions</w:t>
      </w:r>
    </w:p>
    <w:p w14:paraId="69091F61" w14:textId="77777777" w:rsidR="006706B7" w:rsidRDefault="006706B7" w:rsidP="00D2174A">
      <w:pPr>
        <w:pStyle w:val="BodyText"/>
        <w:spacing w:after="100"/>
      </w:pPr>
      <w:r>
        <w:t>Coverage will not be provided for members with any of the following exclusions:</w:t>
      </w:r>
    </w:p>
    <w:p w14:paraId="1E05B2E4" w14:textId="416BCC0C" w:rsidR="006706B7" w:rsidRPr="006706B7" w:rsidRDefault="006706B7" w:rsidP="006706B7">
      <w:pPr>
        <w:pStyle w:val="ListParagraph"/>
        <w:numPr>
          <w:ilvl w:val="0"/>
          <w:numId w:val="30"/>
        </w:numPr>
      </w:pPr>
      <w:r w:rsidRPr="006706B7">
        <w:t>HIV-related lipodystrophy</w:t>
      </w:r>
    </w:p>
    <w:p w14:paraId="5183DE37" w14:textId="1067C67B" w:rsidR="006706B7" w:rsidRPr="006706B7" w:rsidRDefault="006706B7" w:rsidP="00D2174A">
      <w:pPr>
        <w:pStyle w:val="ListParagraph"/>
        <w:numPr>
          <w:ilvl w:val="0"/>
          <w:numId w:val="30"/>
        </w:numPr>
        <w:spacing w:after="0"/>
      </w:pPr>
      <w:r w:rsidRPr="006706B7">
        <w:t>Generalized obesity not associated with generalized lipodystrophy</w:t>
      </w:r>
    </w:p>
    <w:p w14:paraId="7DDAC4FC" w14:textId="23319C20" w:rsidR="00016A2E" w:rsidRDefault="006706B7" w:rsidP="00D2174A">
      <w:pPr>
        <w:pStyle w:val="Heading2"/>
        <w:spacing w:before="460"/>
        <w:rPr>
          <w:rFonts w:eastAsia="Arial"/>
        </w:rPr>
      </w:pPr>
      <w:r>
        <w:rPr>
          <w:rFonts w:eastAsia="Arial"/>
        </w:rPr>
        <w:t>Coverage</w:t>
      </w:r>
      <w:r w:rsidR="0013164A">
        <w:rPr>
          <w:rFonts w:eastAsia="Arial"/>
        </w:rPr>
        <w:t xml:space="preserve"> </w:t>
      </w:r>
      <w:r w:rsidR="005E2BF1">
        <w:rPr>
          <w:rFonts w:eastAsia="Arial"/>
        </w:rPr>
        <w:t>Criteria</w:t>
      </w:r>
    </w:p>
    <w:p w14:paraId="248D6499" w14:textId="2CA59133" w:rsidR="006706B7" w:rsidRPr="006706B7" w:rsidRDefault="006706B7" w:rsidP="006706B7">
      <w:pPr>
        <w:pStyle w:val="Heading3"/>
        <w:rPr>
          <w:rFonts w:eastAsia="Arial"/>
          <w:vertAlign w:val="superscript"/>
        </w:rPr>
      </w:pPr>
      <w:r w:rsidRPr="006706B7">
        <w:rPr>
          <w:rFonts w:eastAsia="Arial"/>
        </w:rPr>
        <w:t>Lipodystrophy</w:t>
      </w:r>
      <w:r w:rsidRPr="006706B7">
        <w:rPr>
          <w:rFonts w:eastAsia="Arial"/>
          <w:vertAlign w:val="superscript"/>
        </w:rPr>
        <w:t>1,2</w:t>
      </w:r>
    </w:p>
    <w:p w14:paraId="5F59199F" w14:textId="1E8CD4C0" w:rsidR="006706B7" w:rsidRPr="00D2174A" w:rsidRDefault="006706B7" w:rsidP="00D2174A">
      <w:pPr>
        <w:pStyle w:val="BodyText"/>
        <w:spacing w:after="100"/>
      </w:pPr>
      <w:r w:rsidRPr="00D2174A">
        <w:t xml:space="preserve">Authorization </w:t>
      </w:r>
      <w:r w:rsidRPr="00E247D6">
        <w:t>of 6 months may</w:t>
      </w:r>
      <w:r w:rsidRPr="00D2174A">
        <w:t xml:space="preserve"> be granted for treatment of lipodystrophy when ALL of the following criteria are met:</w:t>
      </w:r>
    </w:p>
    <w:p w14:paraId="7838D302" w14:textId="293BFC8F" w:rsidR="006706B7" w:rsidRPr="006706B7" w:rsidRDefault="006706B7" w:rsidP="006706B7">
      <w:pPr>
        <w:pStyle w:val="ListParagraph"/>
        <w:numPr>
          <w:ilvl w:val="0"/>
          <w:numId w:val="32"/>
        </w:numPr>
      </w:pPr>
      <w:r w:rsidRPr="006706B7">
        <w:t>Member has a diagnosis of congenital generalized lipodystrophy (i.e., Berardinelli-</w:t>
      </w:r>
      <w:proofErr w:type="spellStart"/>
      <w:r w:rsidRPr="006706B7">
        <w:t>Seip</w:t>
      </w:r>
      <w:proofErr w:type="spellEnd"/>
      <w:r w:rsidRPr="006706B7">
        <w:t xml:space="preserve"> syndrome), acquired generalized lipodystrophy (i.e., Lawrence syndrome), or partial lipodystrophy</w:t>
      </w:r>
    </w:p>
    <w:p w14:paraId="3703E34C" w14:textId="103DBF92" w:rsidR="006706B7" w:rsidRPr="006706B7" w:rsidRDefault="006706B7" w:rsidP="006706B7">
      <w:pPr>
        <w:pStyle w:val="ListParagraph"/>
        <w:numPr>
          <w:ilvl w:val="0"/>
          <w:numId w:val="32"/>
        </w:numPr>
      </w:pPr>
      <w:r w:rsidRPr="006706B7">
        <w:t>Member has leptin deficiency confirmed by laboratory testing (i.e., less than 12 ng/ml)</w:t>
      </w:r>
      <w:r w:rsidR="00221F54">
        <w:rPr>
          <w:vertAlign w:val="superscript"/>
        </w:rPr>
        <w:t>4,6,</w:t>
      </w:r>
      <w:r w:rsidR="00757FB0">
        <w:rPr>
          <w:vertAlign w:val="superscript"/>
        </w:rPr>
        <w:t>8</w:t>
      </w:r>
    </w:p>
    <w:p w14:paraId="2A14B422" w14:textId="5904B671" w:rsidR="006706B7" w:rsidRPr="00D2174A" w:rsidRDefault="006706B7" w:rsidP="00D2174A">
      <w:pPr>
        <w:pStyle w:val="ListParagraph"/>
        <w:numPr>
          <w:ilvl w:val="0"/>
          <w:numId w:val="32"/>
        </w:numPr>
        <w:spacing w:after="0"/>
        <w:rPr>
          <w:rFonts w:eastAsia="Arial"/>
        </w:rPr>
      </w:pPr>
      <w:r w:rsidRPr="006706B7">
        <w:t>Member has at least one complication of lipodystrophy (e.g., diabetes mellitus, hypertriglyceridemia, increased fasting insulin level)</w:t>
      </w:r>
    </w:p>
    <w:p w14:paraId="3A643EC3" w14:textId="2E569936" w:rsidR="00A501AC" w:rsidRDefault="00A501AC" w:rsidP="00D2174A">
      <w:pPr>
        <w:pStyle w:val="Heading2"/>
        <w:keepNext w:val="0"/>
        <w:widowControl w:val="0"/>
        <w:spacing w:before="460"/>
      </w:pPr>
      <w:r w:rsidRPr="00BD1CC1">
        <w:t>Continuation of Therapy</w:t>
      </w:r>
    </w:p>
    <w:p w14:paraId="056C38DB" w14:textId="1712AA95" w:rsidR="001C39B4" w:rsidRPr="001C39B4" w:rsidRDefault="001C39B4" w:rsidP="00D2174A">
      <w:pPr>
        <w:pStyle w:val="Heading3"/>
        <w:keepNext w:val="0"/>
        <w:keepLines w:val="0"/>
        <w:widowControl w:val="0"/>
        <w:spacing w:after="100"/>
        <w:rPr>
          <w:vertAlign w:val="superscript"/>
        </w:rPr>
      </w:pPr>
      <w:r>
        <w:t>Lipodystrophy</w:t>
      </w:r>
      <w:r w:rsidRPr="001C39B4">
        <w:rPr>
          <w:vertAlign w:val="superscript"/>
        </w:rPr>
        <w:t>1-</w:t>
      </w:r>
      <w:r w:rsidR="0030691A">
        <w:rPr>
          <w:vertAlign w:val="superscript"/>
        </w:rPr>
        <w:t>6</w:t>
      </w:r>
    </w:p>
    <w:p w14:paraId="56596981" w14:textId="754CE366" w:rsidR="001C39B4" w:rsidRDefault="001C39B4" w:rsidP="00D2174A">
      <w:pPr>
        <w:pStyle w:val="BodyText"/>
        <w:widowControl w:val="0"/>
      </w:pPr>
      <w:r w:rsidRPr="004E0817">
        <w:t>Authorization of 12 months may be granted to members requesting continuation of treatment for lipodystrophy when the member has experienced an improvement from baseline in metabolic control (e.g., improved glycemic control, decrease in triglycerides, decrease in hepatic enzyme levels)</w:t>
      </w:r>
      <w:r w:rsidR="00CE4C77">
        <w:t>.</w:t>
      </w:r>
    </w:p>
    <w:p w14:paraId="10DA4309" w14:textId="0981C8DC" w:rsidR="00FF66BF" w:rsidRPr="008D1B34" w:rsidRDefault="00FF66BF" w:rsidP="00FF66BF">
      <w:pPr>
        <w:pStyle w:val="Heading2"/>
      </w:pPr>
      <w:r w:rsidRPr="008D1B34">
        <w:t>References</w:t>
      </w:r>
    </w:p>
    <w:p w14:paraId="455347C6" w14:textId="604ABBE3" w:rsidR="001C39B4" w:rsidRDefault="001C39B4" w:rsidP="001C39B4">
      <w:pPr>
        <w:pStyle w:val="ReferenceOrdered"/>
      </w:pPr>
      <w:proofErr w:type="spellStart"/>
      <w:r>
        <w:t>Myalept</w:t>
      </w:r>
      <w:proofErr w:type="spellEnd"/>
      <w:r>
        <w:t xml:space="preserve"> [package insert]. </w:t>
      </w:r>
      <w:r w:rsidR="00384C57">
        <w:t xml:space="preserve">Cary, NC: </w:t>
      </w:r>
      <w:proofErr w:type="spellStart"/>
      <w:r w:rsidR="00384C57">
        <w:t>Chiesi</w:t>
      </w:r>
      <w:proofErr w:type="spellEnd"/>
      <w:r w:rsidR="00384C57">
        <w:t xml:space="preserve"> USA, Inc.; March 2024.</w:t>
      </w:r>
    </w:p>
    <w:p w14:paraId="26F54143" w14:textId="413F3F08" w:rsidR="001C39B4" w:rsidRDefault="001C39B4" w:rsidP="001C39B4">
      <w:pPr>
        <w:pStyle w:val="ReferenceOrdered"/>
      </w:pPr>
      <w:r>
        <w:t>Brown RJ, Araujo-</w:t>
      </w:r>
      <w:proofErr w:type="spellStart"/>
      <w:r>
        <w:t>Vilar</w:t>
      </w:r>
      <w:proofErr w:type="spellEnd"/>
      <w:r>
        <w:t xml:space="preserve"> D, Cheung PT, et al. The diagnosis and management of lipodystrophy syndromes: A multi-society practice guideline. J Clin Endocrinol </w:t>
      </w:r>
      <w:proofErr w:type="spellStart"/>
      <w:r>
        <w:t>Metab</w:t>
      </w:r>
      <w:proofErr w:type="spellEnd"/>
      <w:r>
        <w:t xml:space="preserve">. 2016;101(12):4500-4511. </w:t>
      </w:r>
    </w:p>
    <w:p w14:paraId="29D56203" w14:textId="72CF9D34" w:rsidR="001C39B4" w:rsidRPr="00E95D10" w:rsidRDefault="001C39B4" w:rsidP="001C39B4">
      <w:pPr>
        <w:pStyle w:val="ReferenceOrdered"/>
      </w:pPr>
      <w:r w:rsidRPr="00E95D10">
        <w:rPr>
          <w:lang w:val="sv-SE"/>
        </w:rPr>
        <w:t xml:space="preserve">Handelsman Y, Oral AE, Bloomgarden ZT, et al. </w:t>
      </w:r>
      <w:r w:rsidRPr="00E95D10">
        <w:t xml:space="preserve">The clinical approach to the detection of lipodystrophy – an AACE consensus statement. </w:t>
      </w:r>
      <w:proofErr w:type="spellStart"/>
      <w:r w:rsidRPr="00E95D10">
        <w:t>Endocr</w:t>
      </w:r>
      <w:proofErr w:type="spellEnd"/>
      <w:r w:rsidRPr="00E95D10">
        <w:t xml:space="preserve"> </w:t>
      </w:r>
      <w:proofErr w:type="spellStart"/>
      <w:r w:rsidRPr="00E95D10">
        <w:t>Pract</w:t>
      </w:r>
      <w:proofErr w:type="spellEnd"/>
      <w:r w:rsidRPr="00E95D10">
        <w:t xml:space="preserve">. 2013;19(1):107-116. </w:t>
      </w:r>
    </w:p>
    <w:p w14:paraId="7A1DC92E" w14:textId="33A6304B" w:rsidR="001C39B4" w:rsidRPr="004E0817" w:rsidRDefault="001C39B4" w:rsidP="001C39B4">
      <w:pPr>
        <w:pStyle w:val="ReferenceOrdered"/>
      </w:pPr>
      <w:r w:rsidRPr="004E0817">
        <w:rPr>
          <w:lang w:val="fr-FR"/>
        </w:rPr>
        <w:t xml:space="preserve">Chan JL, Lutz K, Cochran E, et al. </w:t>
      </w:r>
      <w:r w:rsidRPr="004E0817">
        <w:t xml:space="preserve">Clinical effects of long-term </w:t>
      </w:r>
      <w:proofErr w:type="spellStart"/>
      <w:r w:rsidRPr="004E0817">
        <w:t>metreleptin</w:t>
      </w:r>
      <w:proofErr w:type="spellEnd"/>
      <w:r w:rsidRPr="004E0817">
        <w:t xml:space="preserve"> treatment in patients with lipodystrophy. </w:t>
      </w:r>
      <w:proofErr w:type="spellStart"/>
      <w:r w:rsidRPr="004E0817">
        <w:t>Endocr</w:t>
      </w:r>
      <w:proofErr w:type="spellEnd"/>
      <w:r w:rsidRPr="004E0817">
        <w:t xml:space="preserve"> </w:t>
      </w:r>
      <w:proofErr w:type="spellStart"/>
      <w:r w:rsidRPr="004E0817">
        <w:t>Pract</w:t>
      </w:r>
      <w:proofErr w:type="spellEnd"/>
      <w:r w:rsidRPr="004E0817">
        <w:t>. 2011;17(6):922-932.</w:t>
      </w:r>
    </w:p>
    <w:p w14:paraId="392C5D39" w14:textId="7E07B20D" w:rsidR="001C39B4" w:rsidRDefault="001C39B4" w:rsidP="001C39B4">
      <w:pPr>
        <w:pStyle w:val="ReferenceOrdered"/>
      </w:pPr>
      <w:r w:rsidRPr="001C39B4">
        <w:rPr>
          <w:lang w:val="pl-PL"/>
        </w:rPr>
        <w:t xml:space="preserve">Rodriguez AJ, Mastronardi CA, Paz-Filho GJ. </w:t>
      </w:r>
      <w:r>
        <w:t xml:space="preserve">New advances in the treatment of generalized lipodystrophy: role of </w:t>
      </w:r>
      <w:proofErr w:type="spellStart"/>
      <w:r>
        <w:t>metreleptin</w:t>
      </w:r>
      <w:proofErr w:type="spellEnd"/>
      <w:r>
        <w:t xml:space="preserve">. </w:t>
      </w:r>
      <w:proofErr w:type="spellStart"/>
      <w:r>
        <w:t>Ther</w:t>
      </w:r>
      <w:proofErr w:type="spellEnd"/>
      <w:r>
        <w:t xml:space="preserve"> Clin Risk </w:t>
      </w:r>
      <w:proofErr w:type="spellStart"/>
      <w:r>
        <w:t>Manag</w:t>
      </w:r>
      <w:proofErr w:type="spellEnd"/>
      <w:r>
        <w:t>. 2015;11:1391-1400.</w:t>
      </w:r>
    </w:p>
    <w:p w14:paraId="1B84C3F1" w14:textId="10B673B1" w:rsidR="00F409F3" w:rsidRDefault="001C39B4" w:rsidP="00CE4C77">
      <w:pPr>
        <w:pStyle w:val="ReferenceOrdered"/>
      </w:pPr>
      <w:r w:rsidRPr="00D2174A">
        <w:rPr>
          <w:lang w:val="es-US"/>
        </w:rPr>
        <w:t xml:space="preserve">Oral EA, </w:t>
      </w:r>
      <w:proofErr w:type="spellStart"/>
      <w:r w:rsidRPr="00D2174A">
        <w:rPr>
          <w:lang w:val="es-US"/>
        </w:rPr>
        <w:t>Gorden</w:t>
      </w:r>
      <w:proofErr w:type="spellEnd"/>
      <w:r w:rsidRPr="00D2174A">
        <w:rPr>
          <w:lang w:val="es-US"/>
        </w:rPr>
        <w:t xml:space="preserve"> P, Cochran E, et al. </w:t>
      </w:r>
      <w:r>
        <w:t xml:space="preserve">Long-term effectiveness and safety of </w:t>
      </w:r>
      <w:proofErr w:type="spellStart"/>
      <w:r>
        <w:t>metreleptin</w:t>
      </w:r>
      <w:proofErr w:type="spellEnd"/>
      <w:r>
        <w:t xml:space="preserve"> in the treatment of patients with partial lipodystrophy. Endocrine. 2019;64(3):500-511. doi:10.1007/s12020-019-01862-8</w:t>
      </w:r>
    </w:p>
    <w:sectPr w:rsidR="00F409F3" w:rsidSect="00A462F8">
      <w:footerReference w:type="default" r:id="rId15"/>
      <w:type w:val="continuous"/>
      <w:pgSz w:w="12240" w:h="15840" w:code="1"/>
      <w:pgMar w:top="900" w:right="720" w:bottom="990" w:left="720" w:header="720" w:footer="506"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D3230" w14:textId="77777777" w:rsidR="001D4C68" w:rsidRDefault="001D4C68">
      <w:r>
        <w:separator/>
      </w:r>
    </w:p>
  </w:endnote>
  <w:endnote w:type="continuationSeparator" w:id="0">
    <w:p w14:paraId="6F83D995" w14:textId="77777777" w:rsidR="001D4C68" w:rsidRDefault="001D4C68">
      <w:r>
        <w:continuationSeparator/>
      </w:r>
    </w:p>
  </w:endnote>
  <w:endnote w:type="continuationNotice" w:id="1">
    <w:p w14:paraId="00A604B3" w14:textId="77777777" w:rsidR="001D4C68" w:rsidRDefault="001D4C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47AA1BB"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5D62DC" w:rsidRPr="005D62DC">
      <w:rPr>
        <w:rFonts w:cs="Arial"/>
        <w:noProof/>
        <w:sz w:val="16"/>
        <w:szCs w:val="16"/>
      </w:rPr>
      <w:t>Myalept</w:t>
    </w:r>
    <w:r w:rsidR="005D62DC">
      <w:rPr>
        <w:rFonts w:cs="Arial"/>
        <w:noProof/>
        <w:snapToGrid w:val="0"/>
        <w:color w:val="000000"/>
        <w:sz w:val="16"/>
        <w:szCs w:val="16"/>
      </w:rPr>
      <w:t xml:space="preserve"> SGM 1674-A</w:t>
    </w:r>
    <w:r w:rsidR="005D62DC" w:rsidRPr="005D62DC">
      <w:rPr>
        <w:rFonts w:cs="Arial"/>
        <w:noProof/>
        <w:sz w:val="16"/>
        <w:szCs w:val="16"/>
      </w:rPr>
      <w:t xml:space="preserve"> 2025</w:t>
    </w:r>
    <w:r w:rsidR="005D62DC">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5D62DC">
      <w:rPr>
        <w:rFonts w:cs="Arial"/>
        <w:snapToGrid w:val="0"/>
        <w:color w:val="000000"/>
        <w:sz w:val="16"/>
      </w:rPr>
      <w:t>5</w:t>
    </w:r>
    <w:r w:rsidRPr="00EC47B6">
      <w:rPr>
        <w:rFonts w:cs="Arial"/>
        <w:snapToGrid w:val="0"/>
        <w:color w:val="000000"/>
        <w:sz w:val="16"/>
      </w:rPr>
      <w:t xml:space="preserve"> CVS Caremark. All rights reserved.</w:t>
    </w:r>
  </w:p>
  <w:p w14:paraId="61CF5924" w14:textId="6AAF9F29"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E328B3E" w:rsidR="00F75C81" w:rsidRPr="00AA1E6A" w:rsidRDefault="00C36B72" w:rsidP="00A462F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499B0A7"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58665D" w:rsidRPr="0058665D">
      <w:rPr>
        <w:rFonts w:cs="Arial"/>
        <w:noProof/>
        <w:sz w:val="16"/>
        <w:szCs w:val="16"/>
      </w:rPr>
      <w:t>Myalept</w:t>
    </w:r>
    <w:r w:rsidR="0058665D">
      <w:rPr>
        <w:rFonts w:cs="Arial"/>
        <w:noProof/>
        <w:snapToGrid w:val="0"/>
        <w:color w:val="000000"/>
        <w:sz w:val="16"/>
        <w:szCs w:val="16"/>
      </w:rPr>
      <w:t xml:space="preserve"> SGM 1674-A</w:t>
    </w:r>
    <w:r w:rsidR="0058665D" w:rsidRPr="0058665D">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5D62DC">
      <w:rPr>
        <w:rFonts w:cs="Arial"/>
        <w:snapToGrid w:val="0"/>
        <w:color w:val="000000"/>
        <w:sz w:val="16"/>
      </w:rPr>
      <w:t>5</w:t>
    </w:r>
    <w:r w:rsidRPr="00EC47B6">
      <w:rPr>
        <w:rFonts w:cs="Arial"/>
        <w:snapToGrid w:val="0"/>
        <w:color w:val="000000"/>
        <w:sz w:val="16"/>
      </w:rPr>
      <w:t xml:space="preserve"> CVS Caremark. All rights reserved.</w:t>
    </w:r>
  </w:p>
  <w:p w14:paraId="39BFE579" w14:textId="180A3610"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8FCE4EE" w:rsidR="00ED04EC" w:rsidRPr="00F50D98" w:rsidRDefault="00F50D98" w:rsidP="00A462F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2F5D7" w14:textId="75435C09" w:rsidR="00760AA8" w:rsidRPr="00EC47B6" w:rsidRDefault="00760AA8" w:rsidP="00760AA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209AB" w:rsidRPr="00C209AB">
      <w:rPr>
        <w:rFonts w:cs="Arial"/>
        <w:noProof/>
        <w:sz w:val="16"/>
        <w:szCs w:val="16"/>
      </w:rPr>
      <w:t>Myalept</w:t>
    </w:r>
    <w:r w:rsidR="00C209AB">
      <w:rPr>
        <w:rFonts w:cs="Arial"/>
        <w:noProof/>
        <w:snapToGrid w:val="0"/>
        <w:color w:val="000000"/>
        <w:sz w:val="16"/>
        <w:szCs w:val="16"/>
      </w:rPr>
      <w:t xml:space="preserve"> SGM 1674-A</w:t>
    </w:r>
    <w:r w:rsidR="00C209AB" w:rsidRPr="00C209AB">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384C57">
      <w:rPr>
        <w:rFonts w:cs="Arial"/>
        <w:snapToGrid w:val="0"/>
        <w:color w:val="000000"/>
        <w:sz w:val="16"/>
      </w:rPr>
      <w:t>5</w:t>
    </w:r>
    <w:r w:rsidRPr="00EC47B6">
      <w:rPr>
        <w:rFonts w:cs="Arial"/>
        <w:snapToGrid w:val="0"/>
        <w:color w:val="000000"/>
        <w:sz w:val="16"/>
      </w:rPr>
      <w:t xml:space="preserve"> CVS Caremark. All rights reserved.</w:t>
    </w:r>
  </w:p>
  <w:p w14:paraId="7C6DF100" w14:textId="77777777" w:rsidR="00760AA8" w:rsidRPr="00EC47B6" w:rsidRDefault="00760AA8" w:rsidP="00760AA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B41CDAB" w14:textId="4E23A17B" w:rsidR="00D2174A" w:rsidRPr="00D2174A" w:rsidRDefault="00760AA8" w:rsidP="00A462F8">
    <w:pPr>
      <w:autoSpaceDE w:val="0"/>
      <w:autoSpaceDN w:val="0"/>
      <w:adjustRightInd w:val="0"/>
      <w:jc w:val="cente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04730" w14:textId="77777777" w:rsidR="001D4C68" w:rsidRDefault="001D4C68">
      <w:r>
        <w:separator/>
      </w:r>
    </w:p>
  </w:footnote>
  <w:footnote w:type="continuationSeparator" w:id="0">
    <w:p w14:paraId="7A680C17" w14:textId="77777777" w:rsidR="001D4C68" w:rsidRDefault="001D4C68">
      <w:r>
        <w:continuationSeparator/>
      </w:r>
    </w:p>
  </w:footnote>
  <w:footnote w:type="continuationNotice" w:id="1">
    <w:p w14:paraId="40CEBEB2" w14:textId="77777777" w:rsidR="001D4C68" w:rsidRDefault="001D4C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D2174A" w:rsidRDefault="00ED04EC" w:rsidP="00ED04EC">
          <w:pPr>
            <w:pStyle w:val="Header"/>
            <w:rPr>
              <w:rFonts w:cs="Arial"/>
              <w:sz w:val="16"/>
              <w:szCs w:val="16"/>
            </w:rPr>
          </w:pPr>
          <w:r w:rsidRPr="00D2174A">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1BEA95F0" w:rsidR="00ED04EC" w:rsidRPr="00D2174A" w:rsidRDefault="00D2174A" w:rsidP="00ED04EC">
          <w:pPr>
            <w:pStyle w:val="Header"/>
            <w:rPr>
              <w:rFonts w:cs="Arial"/>
              <w:sz w:val="16"/>
              <w:szCs w:val="16"/>
            </w:rPr>
          </w:pPr>
          <w:r w:rsidRPr="00D2174A">
            <w:rPr>
              <w:sz w:val="16"/>
              <w:szCs w:val="16"/>
            </w:rPr>
            <w:t>1674-A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952225F"/>
    <w:multiLevelType w:val="hybridMultilevel"/>
    <w:tmpl w:val="BE985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AA287F"/>
    <w:multiLevelType w:val="hybridMultilevel"/>
    <w:tmpl w:val="7250C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FF55C8"/>
    <w:multiLevelType w:val="hybridMultilevel"/>
    <w:tmpl w:val="40D47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926246"/>
    <w:multiLevelType w:val="hybridMultilevel"/>
    <w:tmpl w:val="340ACC14"/>
    <w:lvl w:ilvl="0" w:tplc="50DA331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6B1519"/>
    <w:multiLevelType w:val="hybridMultilevel"/>
    <w:tmpl w:val="E1C266AA"/>
    <w:lvl w:ilvl="0" w:tplc="0F244C92">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F23465"/>
    <w:multiLevelType w:val="hybridMultilevel"/>
    <w:tmpl w:val="E26E3A0E"/>
    <w:lvl w:ilvl="0" w:tplc="F0B27870">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8"/>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8"/>
  </w:num>
  <w:num w:numId="17" w16cid:durableId="2128498676">
    <w:abstractNumId w:val="31"/>
  </w:num>
  <w:num w:numId="18" w16cid:durableId="299724409">
    <w:abstractNumId w:val="24"/>
  </w:num>
  <w:num w:numId="19" w16cid:durableId="214585573">
    <w:abstractNumId w:val="15"/>
  </w:num>
  <w:num w:numId="20" w16cid:durableId="1289816170">
    <w:abstractNumId w:val="16"/>
  </w:num>
  <w:num w:numId="21" w16cid:durableId="1066490929">
    <w:abstractNumId w:val="32"/>
  </w:num>
  <w:num w:numId="22" w16cid:durableId="1472481103">
    <w:abstractNumId w:val="27"/>
  </w:num>
  <w:num w:numId="23" w16cid:durableId="1997420403">
    <w:abstractNumId w:val="29"/>
  </w:num>
  <w:num w:numId="24" w16cid:durableId="33312838">
    <w:abstractNumId w:val="25"/>
  </w:num>
  <w:num w:numId="25" w16cid:durableId="507404939">
    <w:abstractNumId w:val="17"/>
  </w:num>
  <w:num w:numId="26" w16cid:durableId="1950313333">
    <w:abstractNumId w:val="21"/>
  </w:num>
  <w:num w:numId="27" w16cid:durableId="1866016584">
    <w:abstractNumId w:val="20"/>
  </w:num>
  <w:num w:numId="28" w16cid:durableId="1467972690">
    <w:abstractNumId w:val="19"/>
  </w:num>
  <w:num w:numId="29" w16cid:durableId="1333145210">
    <w:abstractNumId w:val="23"/>
  </w:num>
  <w:num w:numId="30" w16cid:durableId="1456414291">
    <w:abstractNumId w:val="13"/>
  </w:num>
  <w:num w:numId="31" w16cid:durableId="1054233207">
    <w:abstractNumId w:val="30"/>
  </w:num>
  <w:num w:numId="32" w16cid:durableId="1806002713">
    <w:abstractNumId w:val="14"/>
  </w:num>
  <w:num w:numId="33" w16cid:durableId="351299227">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3FA0"/>
    <w:rsid w:val="00024BB4"/>
    <w:rsid w:val="00024E30"/>
    <w:rsid w:val="000255D0"/>
    <w:rsid w:val="0002595C"/>
    <w:rsid w:val="00026525"/>
    <w:rsid w:val="00026803"/>
    <w:rsid w:val="000273F0"/>
    <w:rsid w:val="000305AB"/>
    <w:rsid w:val="00030714"/>
    <w:rsid w:val="00030C13"/>
    <w:rsid w:val="00030CF7"/>
    <w:rsid w:val="000311EC"/>
    <w:rsid w:val="000315F1"/>
    <w:rsid w:val="000318EA"/>
    <w:rsid w:val="0003203C"/>
    <w:rsid w:val="00032275"/>
    <w:rsid w:val="00032659"/>
    <w:rsid w:val="00032924"/>
    <w:rsid w:val="000329B4"/>
    <w:rsid w:val="0003572F"/>
    <w:rsid w:val="00036079"/>
    <w:rsid w:val="00037636"/>
    <w:rsid w:val="00037A95"/>
    <w:rsid w:val="0004226E"/>
    <w:rsid w:val="000425B0"/>
    <w:rsid w:val="00043056"/>
    <w:rsid w:val="000440A8"/>
    <w:rsid w:val="0004480D"/>
    <w:rsid w:val="00045CF3"/>
    <w:rsid w:val="00046912"/>
    <w:rsid w:val="00046BD3"/>
    <w:rsid w:val="00046C3C"/>
    <w:rsid w:val="0004753B"/>
    <w:rsid w:val="00047680"/>
    <w:rsid w:val="00047C5A"/>
    <w:rsid w:val="00050B10"/>
    <w:rsid w:val="00051356"/>
    <w:rsid w:val="00051699"/>
    <w:rsid w:val="000517FF"/>
    <w:rsid w:val="0005206D"/>
    <w:rsid w:val="00052785"/>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3AA"/>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64CF"/>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3EDE"/>
    <w:rsid w:val="000D44C7"/>
    <w:rsid w:val="000D454D"/>
    <w:rsid w:val="000D4EA4"/>
    <w:rsid w:val="000D5101"/>
    <w:rsid w:val="000D5978"/>
    <w:rsid w:val="000D5D4B"/>
    <w:rsid w:val="000D7ED8"/>
    <w:rsid w:val="000E0438"/>
    <w:rsid w:val="000E095D"/>
    <w:rsid w:val="000E0C62"/>
    <w:rsid w:val="000E24FA"/>
    <w:rsid w:val="000E2ECC"/>
    <w:rsid w:val="000E37E4"/>
    <w:rsid w:val="000E395D"/>
    <w:rsid w:val="000E3A1B"/>
    <w:rsid w:val="000E3DD4"/>
    <w:rsid w:val="000E65C5"/>
    <w:rsid w:val="000E6D53"/>
    <w:rsid w:val="000E7263"/>
    <w:rsid w:val="000E7B01"/>
    <w:rsid w:val="000E7C60"/>
    <w:rsid w:val="000F0AC9"/>
    <w:rsid w:val="000F1039"/>
    <w:rsid w:val="000F16AB"/>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3A4"/>
    <w:rsid w:val="00115519"/>
    <w:rsid w:val="001155D7"/>
    <w:rsid w:val="001156BC"/>
    <w:rsid w:val="001159B3"/>
    <w:rsid w:val="0011622E"/>
    <w:rsid w:val="00117495"/>
    <w:rsid w:val="0011772F"/>
    <w:rsid w:val="001177D6"/>
    <w:rsid w:val="001202DD"/>
    <w:rsid w:val="00121BD0"/>
    <w:rsid w:val="00121F7F"/>
    <w:rsid w:val="00122472"/>
    <w:rsid w:val="0012343C"/>
    <w:rsid w:val="001244EB"/>
    <w:rsid w:val="00125550"/>
    <w:rsid w:val="00127150"/>
    <w:rsid w:val="00127475"/>
    <w:rsid w:val="00127546"/>
    <w:rsid w:val="0012768E"/>
    <w:rsid w:val="00127BF2"/>
    <w:rsid w:val="00130436"/>
    <w:rsid w:val="00130F05"/>
    <w:rsid w:val="00130FD7"/>
    <w:rsid w:val="0013164A"/>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22DF"/>
    <w:rsid w:val="001732B6"/>
    <w:rsid w:val="00173AB9"/>
    <w:rsid w:val="001747DB"/>
    <w:rsid w:val="00174F3B"/>
    <w:rsid w:val="00175B12"/>
    <w:rsid w:val="00175F8E"/>
    <w:rsid w:val="00176167"/>
    <w:rsid w:val="001765D6"/>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3ED"/>
    <w:rsid w:val="00187BCC"/>
    <w:rsid w:val="00190200"/>
    <w:rsid w:val="0019091E"/>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3C21"/>
    <w:rsid w:val="001B459A"/>
    <w:rsid w:val="001B4C8F"/>
    <w:rsid w:val="001B5232"/>
    <w:rsid w:val="001B6FFC"/>
    <w:rsid w:val="001B72C7"/>
    <w:rsid w:val="001C1C00"/>
    <w:rsid w:val="001C1C5D"/>
    <w:rsid w:val="001C2409"/>
    <w:rsid w:val="001C266E"/>
    <w:rsid w:val="001C39B4"/>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4C68"/>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75C"/>
    <w:rsid w:val="00211DE1"/>
    <w:rsid w:val="00212062"/>
    <w:rsid w:val="00213310"/>
    <w:rsid w:val="002134FD"/>
    <w:rsid w:val="002140F4"/>
    <w:rsid w:val="0021437E"/>
    <w:rsid w:val="0021440B"/>
    <w:rsid w:val="0021446F"/>
    <w:rsid w:val="002155CC"/>
    <w:rsid w:val="00215A86"/>
    <w:rsid w:val="00215B40"/>
    <w:rsid w:val="002173D5"/>
    <w:rsid w:val="0022007C"/>
    <w:rsid w:val="00220916"/>
    <w:rsid w:val="00220B8D"/>
    <w:rsid w:val="00220E02"/>
    <w:rsid w:val="00221054"/>
    <w:rsid w:val="002211B9"/>
    <w:rsid w:val="00221310"/>
    <w:rsid w:val="00221ABB"/>
    <w:rsid w:val="00221F54"/>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4F9E"/>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34"/>
    <w:rsid w:val="00267A90"/>
    <w:rsid w:val="002708AE"/>
    <w:rsid w:val="00271357"/>
    <w:rsid w:val="00272160"/>
    <w:rsid w:val="00272D78"/>
    <w:rsid w:val="00273E66"/>
    <w:rsid w:val="00273FEB"/>
    <w:rsid w:val="0027496D"/>
    <w:rsid w:val="002754FA"/>
    <w:rsid w:val="00275B83"/>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3A"/>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48C7"/>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D6C16"/>
    <w:rsid w:val="002E01B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B8E"/>
    <w:rsid w:val="00301F62"/>
    <w:rsid w:val="00302DBD"/>
    <w:rsid w:val="003030D7"/>
    <w:rsid w:val="00304F20"/>
    <w:rsid w:val="00305223"/>
    <w:rsid w:val="00305A72"/>
    <w:rsid w:val="00305BDF"/>
    <w:rsid w:val="00305F83"/>
    <w:rsid w:val="0030691A"/>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4C3"/>
    <w:rsid w:val="00372A21"/>
    <w:rsid w:val="00372FCD"/>
    <w:rsid w:val="0037333D"/>
    <w:rsid w:val="00374540"/>
    <w:rsid w:val="003753D0"/>
    <w:rsid w:val="003756FF"/>
    <w:rsid w:val="0037580F"/>
    <w:rsid w:val="0037664E"/>
    <w:rsid w:val="003777A6"/>
    <w:rsid w:val="00377D50"/>
    <w:rsid w:val="00381B05"/>
    <w:rsid w:val="00381B08"/>
    <w:rsid w:val="00381B16"/>
    <w:rsid w:val="0038248C"/>
    <w:rsid w:val="003829C8"/>
    <w:rsid w:val="00382C29"/>
    <w:rsid w:val="00382C85"/>
    <w:rsid w:val="0038309E"/>
    <w:rsid w:val="00384C57"/>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0AA2"/>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82B"/>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30F5"/>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4911"/>
    <w:rsid w:val="00425453"/>
    <w:rsid w:val="004260D4"/>
    <w:rsid w:val="004260DE"/>
    <w:rsid w:val="0042761F"/>
    <w:rsid w:val="00427B15"/>
    <w:rsid w:val="00430B2F"/>
    <w:rsid w:val="00431634"/>
    <w:rsid w:val="00431A2D"/>
    <w:rsid w:val="00431D2B"/>
    <w:rsid w:val="00431EB7"/>
    <w:rsid w:val="00433A31"/>
    <w:rsid w:val="00433E3A"/>
    <w:rsid w:val="00433EE2"/>
    <w:rsid w:val="0043515D"/>
    <w:rsid w:val="004357BB"/>
    <w:rsid w:val="00435A60"/>
    <w:rsid w:val="00437BFC"/>
    <w:rsid w:val="00437D53"/>
    <w:rsid w:val="004405EB"/>
    <w:rsid w:val="0044080D"/>
    <w:rsid w:val="00440CEF"/>
    <w:rsid w:val="004414EF"/>
    <w:rsid w:val="00441BD2"/>
    <w:rsid w:val="004421AD"/>
    <w:rsid w:val="00442B17"/>
    <w:rsid w:val="0044300A"/>
    <w:rsid w:val="00443512"/>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1B29"/>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7B7"/>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388"/>
    <w:rsid w:val="0048779B"/>
    <w:rsid w:val="00487DA7"/>
    <w:rsid w:val="00487FF5"/>
    <w:rsid w:val="00490862"/>
    <w:rsid w:val="0049110A"/>
    <w:rsid w:val="00491AAF"/>
    <w:rsid w:val="00492DA6"/>
    <w:rsid w:val="004932BB"/>
    <w:rsid w:val="00493AED"/>
    <w:rsid w:val="00494054"/>
    <w:rsid w:val="00494B52"/>
    <w:rsid w:val="00495AB2"/>
    <w:rsid w:val="00495ADE"/>
    <w:rsid w:val="0049611C"/>
    <w:rsid w:val="00497D66"/>
    <w:rsid w:val="004A0605"/>
    <w:rsid w:val="004A0803"/>
    <w:rsid w:val="004A0F44"/>
    <w:rsid w:val="004A23E2"/>
    <w:rsid w:val="004A261A"/>
    <w:rsid w:val="004A36A8"/>
    <w:rsid w:val="004A37EB"/>
    <w:rsid w:val="004A3A2D"/>
    <w:rsid w:val="004A3CCF"/>
    <w:rsid w:val="004A476E"/>
    <w:rsid w:val="004A4BC2"/>
    <w:rsid w:val="004A5096"/>
    <w:rsid w:val="004A5DC0"/>
    <w:rsid w:val="004A5E5C"/>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817"/>
    <w:rsid w:val="004E0DA9"/>
    <w:rsid w:val="004E16CE"/>
    <w:rsid w:val="004E197E"/>
    <w:rsid w:val="004E1CD5"/>
    <w:rsid w:val="004E1EEE"/>
    <w:rsid w:val="004E39F9"/>
    <w:rsid w:val="004E407D"/>
    <w:rsid w:val="004E4FB7"/>
    <w:rsid w:val="004E563C"/>
    <w:rsid w:val="004E69C5"/>
    <w:rsid w:val="004E6C9B"/>
    <w:rsid w:val="004E6FA5"/>
    <w:rsid w:val="004F0A1D"/>
    <w:rsid w:val="004F1A5E"/>
    <w:rsid w:val="004F2E2A"/>
    <w:rsid w:val="004F34F0"/>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9C5"/>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1496"/>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1FE2"/>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67F18"/>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65D"/>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8D9"/>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899"/>
    <w:rsid w:val="005D0CD7"/>
    <w:rsid w:val="005D0ED8"/>
    <w:rsid w:val="005D14DC"/>
    <w:rsid w:val="005D154E"/>
    <w:rsid w:val="005D1B57"/>
    <w:rsid w:val="005D2C56"/>
    <w:rsid w:val="005D2E4C"/>
    <w:rsid w:val="005D3FE0"/>
    <w:rsid w:val="005D47B9"/>
    <w:rsid w:val="005D5FBB"/>
    <w:rsid w:val="005D62DC"/>
    <w:rsid w:val="005D6B49"/>
    <w:rsid w:val="005D7081"/>
    <w:rsid w:val="005D72EF"/>
    <w:rsid w:val="005D7947"/>
    <w:rsid w:val="005D7EA2"/>
    <w:rsid w:val="005E0BD2"/>
    <w:rsid w:val="005E1266"/>
    <w:rsid w:val="005E1A3C"/>
    <w:rsid w:val="005E2BF1"/>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A04"/>
    <w:rsid w:val="00637D18"/>
    <w:rsid w:val="0064175A"/>
    <w:rsid w:val="00642734"/>
    <w:rsid w:val="00642971"/>
    <w:rsid w:val="00642BEF"/>
    <w:rsid w:val="006434FA"/>
    <w:rsid w:val="00643E65"/>
    <w:rsid w:val="00643E90"/>
    <w:rsid w:val="006442D1"/>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6B7"/>
    <w:rsid w:val="00670A4F"/>
    <w:rsid w:val="00670FB7"/>
    <w:rsid w:val="0067123A"/>
    <w:rsid w:val="006714FB"/>
    <w:rsid w:val="0067195C"/>
    <w:rsid w:val="00671ACB"/>
    <w:rsid w:val="00671BCD"/>
    <w:rsid w:val="00671EA7"/>
    <w:rsid w:val="00673184"/>
    <w:rsid w:val="0067354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1D"/>
    <w:rsid w:val="00692A50"/>
    <w:rsid w:val="00692E0D"/>
    <w:rsid w:val="00693B34"/>
    <w:rsid w:val="00694A62"/>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CFE"/>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544"/>
    <w:rsid w:val="007267CF"/>
    <w:rsid w:val="00727843"/>
    <w:rsid w:val="0073079A"/>
    <w:rsid w:val="00731FCA"/>
    <w:rsid w:val="007325C8"/>
    <w:rsid w:val="00732B93"/>
    <w:rsid w:val="0073324D"/>
    <w:rsid w:val="0073362E"/>
    <w:rsid w:val="00735381"/>
    <w:rsid w:val="007363FE"/>
    <w:rsid w:val="00736D6F"/>
    <w:rsid w:val="0074014C"/>
    <w:rsid w:val="00741656"/>
    <w:rsid w:val="00741E80"/>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7FB0"/>
    <w:rsid w:val="00760AA8"/>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4E89"/>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04"/>
    <w:rsid w:val="007C4D57"/>
    <w:rsid w:val="007C4F4F"/>
    <w:rsid w:val="007C5719"/>
    <w:rsid w:val="007C5812"/>
    <w:rsid w:val="007C70BD"/>
    <w:rsid w:val="007C74F4"/>
    <w:rsid w:val="007D151B"/>
    <w:rsid w:val="007D177A"/>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3B98"/>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07F9A"/>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284"/>
    <w:rsid w:val="008313C2"/>
    <w:rsid w:val="00832520"/>
    <w:rsid w:val="00832E80"/>
    <w:rsid w:val="00832EB5"/>
    <w:rsid w:val="00832F22"/>
    <w:rsid w:val="0083565A"/>
    <w:rsid w:val="00835A0B"/>
    <w:rsid w:val="008409AE"/>
    <w:rsid w:val="00840EA7"/>
    <w:rsid w:val="008428E1"/>
    <w:rsid w:val="00842966"/>
    <w:rsid w:val="00842F87"/>
    <w:rsid w:val="008432CC"/>
    <w:rsid w:val="00843CE4"/>
    <w:rsid w:val="0084425F"/>
    <w:rsid w:val="008445A6"/>
    <w:rsid w:val="00844E79"/>
    <w:rsid w:val="008465D2"/>
    <w:rsid w:val="00850792"/>
    <w:rsid w:val="0085298F"/>
    <w:rsid w:val="00852FA8"/>
    <w:rsid w:val="0085356E"/>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1E15"/>
    <w:rsid w:val="00892A08"/>
    <w:rsid w:val="008943CF"/>
    <w:rsid w:val="008945D6"/>
    <w:rsid w:val="00895C0F"/>
    <w:rsid w:val="00895D84"/>
    <w:rsid w:val="00895FE5"/>
    <w:rsid w:val="00896FAB"/>
    <w:rsid w:val="008973E6"/>
    <w:rsid w:val="00897778"/>
    <w:rsid w:val="00897A39"/>
    <w:rsid w:val="00897BD4"/>
    <w:rsid w:val="008A08A4"/>
    <w:rsid w:val="008A15EC"/>
    <w:rsid w:val="008A4526"/>
    <w:rsid w:val="008A4B15"/>
    <w:rsid w:val="008A4CB3"/>
    <w:rsid w:val="008A4D8A"/>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6E5F"/>
    <w:rsid w:val="008E7287"/>
    <w:rsid w:val="008E7659"/>
    <w:rsid w:val="008E7F9D"/>
    <w:rsid w:val="008F05DE"/>
    <w:rsid w:val="008F09AE"/>
    <w:rsid w:val="008F0AC3"/>
    <w:rsid w:val="008F173A"/>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411"/>
    <w:rsid w:val="00935487"/>
    <w:rsid w:val="00935BC3"/>
    <w:rsid w:val="00937266"/>
    <w:rsid w:val="00940AA9"/>
    <w:rsid w:val="00941264"/>
    <w:rsid w:val="0094143E"/>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4A7"/>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1775"/>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137A"/>
    <w:rsid w:val="009C2E32"/>
    <w:rsid w:val="009C3C50"/>
    <w:rsid w:val="009C4B9D"/>
    <w:rsid w:val="009C4E1E"/>
    <w:rsid w:val="009C595B"/>
    <w:rsid w:val="009C6673"/>
    <w:rsid w:val="009C6CB5"/>
    <w:rsid w:val="009C6CFE"/>
    <w:rsid w:val="009C7D3E"/>
    <w:rsid w:val="009D0B0C"/>
    <w:rsid w:val="009D0C37"/>
    <w:rsid w:val="009D2D63"/>
    <w:rsid w:val="009D31D0"/>
    <w:rsid w:val="009D60F4"/>
    <w:rsid w:val="009D6686"/>
    <w:rsid w:val="009D6C0F"/>
    <w:rsid w:val="009D6D3D"/>
    <w:rsid w:val="009D7037"/>
    <w:rsid w:val="009D71AB"/>
    <w:rsid w:val="009D72AF"/>
    <w:rsid w:val="009D7595"/>
    <w:rsid w:val="009D7679"/>
    <w:rsid w:val="009D7C0C"/>
    <w:rsid w:val="009D7F0B"/>
    <w:rsid w:val="009E1F57"/>
    <w:rsid w:val="009E20EB"/>
    <w:rsid w:val="009E28C7"/>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009"/>
    <w:rsid w:val="00A37EFC"/>
    <w:rsid w:val="00A40451"/>
    <w:rsid w:val="00A40764"/>
    <w:rsid w:val="00A40A9D"/>
    <w:rsid w:val="00A412F8"/>
    <w:rsid w:val="00A41637"/>
    <w:rsid w:val="00A41972"/>
    <w:rsid w:val="00A41BCD"/>
    <w:rsid w:val="00A41D75"/>
    <w:rsid w:val="00A43152"/>
    <w:rsid w:val="00A43A09"/>
    <w:rsid w:val="00A44E8E"/>
    <w:rsid w:val="00A45E92"/>
    <w:rsid w:val="00A462F8"/>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56E4"/>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2A94"/>
    <w:rsid w:val="00AA3F55"/>
    <w:rsid w:val="00AA46E5"/>
    <w:rsid w:val="00AA46E6"/>
    <w:rsid w:val="00AA472A"/>
    <w:rsid w:val="00AA4E3C"/>
    <w:rsid w:val="00AA58CD"/>
    <w:rsid w:val="00AA5FEE"/>
    <w:rsid w:val="00AA6624"/>
    <w:rsid w:val="00AA6E94"/>
    <w:rsid w:val="00AA7BC6"/>
    <w:rsid w:val="00AA7D6B"/>
    <w:rsid w:val="00AB03C3"/>
    <w:rsid w:val="00AB060C"/>
    <w:rsid w:val="00AB07BF"/>
    <w:rsid w:val="00AB0812"/>
    <w:rsid w:val="00AB09BC"/>
    <w:rsid w:val="00AB12D9"/>
    <w:rsid w:val="00AB1987"/>
    <w:rsid w:val="00AB2685"/>
    <w:rsid w:val="00AB2732"/>
    <w:rsid w:val="00AB299D"/>
    <w:rsid w:val="00AB2BF1"/>
    <w:rsid w:val="00AB3600"/>
    <w:rsid w:val="00AB3A4C"/>
    <w:rsid w:val="00AB3ACD"/>
    <w:rsid w:val="00AB3B7A"/>
    <w:rsid w:val="00AB48F8"/>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32FE"/>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492"/>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38C7"/>
    <w:rsid w:val="00B13B6F"/>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79F"/>
    <w:rsid w:val="00B30C78"/>
    <w:rsid w:val="00B323A4"/>
    <w:rsid w:val="00B32707"/>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6AA"/>
    <w:rsid w:val="00B61ED0"/>
    <w:rsid w:val="00B6319D"/>
    <w:rsid w:val="00B63FDB"/>
    <w:rsid w:val="00B648B6"/>
    <w:rsid w:val="00B64967"/>
    <w:rsid w:val="00B65538"/>
    <w:rsid w:val="00B65A18"/>
    <w:rsid w:val="00B65F8B"/>
    <w:rsid w:val="00B6611D"/>
    <w:rsid w:val="00B66383"/>
    <w:rsid w:val="00B66799"/>
    <w:rsid w:val="00B66B76"/>
    <w:rsid w:val="00B66D30"/>
    <w:rsid w:val="00B670AD"/>
    <w:rsid w:val="00B67932"/>
    <w:rsid w:val="00B67D19"/>
    <w:rsid w:val="00B70163"/>
    <w:rsid w:val="00B706AF"/>
    <w:rsid w:val="00B7134B"/>
    <w:rsid w:val="00B71665"/>
    <w:rsid w:val="00B72331"/>
    <w:rsid w:val="00B725FA"/>
    <w:rsid w:val="00B72DFD"/>
    <w:rsid w:val="00B73BA9"/>
    <w:rsid w:val="00B73FA7"/>
    <w:rsid w:val="00B74318"/>
    <w:rsid w:val="00B75009"/>
    <w:rsid w:val="00B76A92"/>
    <w:rsid w:val="00B76BCF"/>
    <w:rsid w:val="00B76C81"/>
    <w:rsid w:val="00B77B78"/>
    <w:rsid w:val="00B8022C"/>
    <w:rsid w:val="00B80357"/>
    <w:rsid w:val="00B80AC8"/>
    <w:rsid w:val="00B81929"/>
    <w:rsid w:val="00B81EEA"/>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4415"/>
    <w:rsid w:val="00BA4F56"/>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14D7"/>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B7C"/>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9AB"/>
    <w:rsid w:val="00C20CF2"/>
    <w:rsid w:val="00C218B6"/>
    <w:rsid w:val="00C21B28"/>
    <w:rsid w:val="00C21D3B"/>
    <w:rsid w:val="00C22262"/>
    <w:rsid w:val="00C229E9"/>
    <w:rsid w:val="00C22F9B"/>
    <w:rsid w:val="00C24064"/>
    <w:rsid w:val="00C243EA"/>
    <w:rsid w:val="00C247A9"/>
    <w:rsid w:val="00C24E3E"/>
    <w:rsid w:val="00C25A3A"/>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987"/>
    <w:rsid w:val="00C32F79"/>
    <w:rsid w:val="00C33BF9"/>
    <w:rsid w:val="00C34B62"/>
    <w:rsid w:val="00C355FF"/>
    <w:rsid w:val="00C3566A"/>
    <w:rsid w:val="00C35A4A"/>
    <w:rsid w:val="00C35A68"/>
    <w:rsid w:val="00C35A6A"/>
    <w:rsid w:val="00C3608F"/>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0646"/>
    <w:rsid w:val="00C511E1"/>
    <w:rsid w:val="00C51255"/>
    <w:rsid w:val="00C52389"/>
    <w:rsid w:val="00C53013"/>
    <w:rsid w:val="00C53D02"/>
    <w:rsid w:val="00C54C13"/>
    <w:rsid w:val="00C54D4A"/>
    <w:rsid w:val="00C54DF5"/>
    <w:rsid w:val="00C54E36"/>
    <w:rsid w:val="00C54E64"/>
    <w:rsid w:val="00C55C44"/>
    <w:rsid w:val="00C55C7E"/>
    <w:rsid w:val="00C600E7"/>
    <w:rsid w:val="00C60601"/>
    <w:rsid w:val="00C60692"/>
    <w:rsid w:val="00C60873"/>
    <w:rsid w:val="00C60AD4"/>
    <w:rsid w:val="00C6155D"/>
    <w:rsid w:val="00C6177C"/>
    <w:rsid w:val="00C617ED"/>
    <w:rsid w:val="00C61827"/>
    <w:rsid w:val="00C61CAE"/>
    <w:rsid w:val="00C61D2A"/>
    <w:rsid w:val="00C6319D"/>
    <w:rsid w:val="00C631C5"/>
    <w:rsid w:val="00C6390D"/>
    <w:rsid w:val="00C642C2"/>
    <w:rsid w:val="00C64534"/>
    <w:rsid w:val="00C64859"/>
    <w:rsid w:val="00C65465"/>
    <w:rsid w:val="00C65502"/>
    <w:rsid w:val="00C65A83"/>
    <w:rsid w:val="00C675EB"/>
    <w:rsid w:val="00C676EA"/>
    <w:rsid w:val="00C700FE"/>
    <w:rsid w:val="00C72424"/>
    <w:rsid w:val="00C73E8B"/>
    <w:rsid w:val="00C74CD4"/>
    <w:rsid w:val="00C74F5C"/>
    <w:rsid w:val="00C75C02"/>
    <w:rsid w:val="00C76BFE"/>
    <w:rsid w:val="00C77681"/>
    <w:rsid w:val="00C77D90"/>
    <w:rsid w:val="00C77FF2"/>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46F"/>
    <w:rsid w:val="00CB4985"/>
    <w:rsid w:val="00CB63DB"/>
    <w:rsid w:val="00CB6473"/>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212"/>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4C77"/>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0F8D"/>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3A3"/>
    <w:rsid w:val="00D215BF"/>
    <w:rsid w:val="00D2174A"/>
    <w:rsid w:val="00D21D0C"/>
    <w:rsid w:val="00D2332E"/>
    <w:rsid w:val="00D24201"/>
    <w:rsid w:val="00D24AC3"/>
    <w:rsid w:val="00D24F0F"/>
    <w:rsid w:val="00D24F6F"/>
    <w:rsid w:val="00D25BE2"/>
    <w:rsid w:val="00D26363"/>
    <w:rsid w:val="00D27CA2"/>
    <w:rsid w:val="00D30248"/>
    <w:rsid w:val="00D30A4B"/>
    <w:rsid w:val="00D30E2F"/>
    <w:rsid w:val="00D314DB"/>
    <w:rsid w:val="00D31A54"/>
    <w:rsid w:val="00D3213A"/>
    <w:rsid w:val="00D32E0D"/>
    <w:rsid w:val="00D33412"/>
    <w:rsid w:val="00D34220"/>
    <w:rsid w:val="00D3433D"/>
    <w:rsid w:val="00D345D3"/>
    <w:rsid w:val="00D34B5E"/>
    <w:rsid w:val="00D3537F"/>
    <w:rsid w:val="00D353C1"/>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678B"/>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061D"/>
    <w:rsid w:val="00D6162B"/>
    <w:rsid w:val="00D64807"/>
    <w:rsid w:val="00D6549B"/>
    <w:rsid w:val="00D65533"/>
    <w:rsid w:val="00D665CC"/>
    <w:rsid w:val="00D67252"/>
    <w:rsid w:val="00D70C19"/>
    <w:rsid w:val="00D7109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A7C17"/>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B9C"/>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95D"/>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7D6"/>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902"/>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47C5"/>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5D10"/>
    <w:rsid w:val="00E95FB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1D7"/>
    <w:rsid w:val="00EB73F2"/>
    <w:rsid w:val="00EB754D"/>
    <w:rsid w:val="00EB7929"/>
    <w:rsid w:val="00EC0CE4"/>
    <w:rsid w:val="00EC11FF"/>
    <w:rsid w:val="00EC18D6"/>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592"/>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084E"/>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4DC0"/>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6E8"/>
    <w:rsid w:val="00F31BBD"/>
    <w:rsid w:val="00F3318B"/>
    <w:rsid w:val="00F337B5"/>
    <w:rsid w:val="00F3569A"/>
    <w:rsid w:val="00F35823"/>
    <w:rsid w:val="00F35D8B"/>
    <w:rsid w:val="00F35DD8"/>
    <w:rsid w:val="00F36059"/>
    <w:rsid w:val="00F37823"/>
    <w:rsid w:val="00F3785E"/>
    <w:rsid w:val="00F3796F"/>
    <w:rsid w:val="00F37FBD"/>
    <w:rsid w:val="00F409F3"/>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3A1"/>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7AA"/>
    <w:rsid w:val="00F718A3"/>
    <w:rsid w:val="00F71DC9"/>
    <w:rsid w:val="00F72390"/>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0E54"/>
    <w:rsid w:val="00F9171E"/>
    <w:rsid w:val="00F91899"/>
    <w:rsid w:val="00F92268"/>
    <w:rsid w:val="00F92B36"/>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35D"/>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0C11"/>
    <w:rsid w:val="00FF2F94"/>
    <w:rsid w:val="00FF35C5"/>
    <w:rsid w:val="00FF37B2"/>
    <w:rsid w:val="00FF530E"/>
    <w:rsid w:val="00FF5C3C"/>
    <w:rsid w:val="00FF5C92"/>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B6C00-84D2-4A35-90A3-6A50B2AE06FD}"/>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566</Words>
  <Characters>3231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Myalept 1674-A SGM 2024</vt:lpstr>
    </vt:vector>
  </TitlesOfParts>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Myalept SGM 1674-A</dc:title>
  <dc:subject>Myalept SGM 1674-A</dc:subject>
  <dc:creator>CVS Caremark</dc:creator>
  <cp:keywords/>
  <cp:lastModifiedBy>Ortiz, Erica M</cp:lastModifiedBy>
  <cp:revision>4</cp:revision>
  <cp:lastPrinted>2024-04-17T11:40:00Z</cp:lastPrinted>
  <dcterms:created xsi:type="dcterms:W3CDTF">2025-06-02T19:09:00Z</dcterms:created>
  <dcterms:modified xsi:type="dcterms:W3CDTF">2025-06-02T19:11:00Z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763800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